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570" w:rsidRPr="00485DEC" w:rsidRDefault="00786570" w:rsidP="00485DEC">
      <w:pPr>
        <w:pStyle w:val="Normaallaadveeb"/>
        <w:jc w:val="center"/>
        <w:rPr>
          <w:b/>
          <w:bCs/>
          <w:color w:val="000000"/>
          <w:sz w:val="28"/>
        </w:rPr>
      </w:pPr>
      <w:r w:rsidRPr="00485DEC">
        <w:rPr>
          <w:b/>
          <w:bCs/>
          <w:color w:val="000000"/>
          <w:sz w:val="28"/>
        </w:rPr>
        <w:t>Looduskaitse statistiline ülevaade 2004</w:t>
      </w:r>
    </w:p>
    <w:p w:rsidR="00786570" w:rsidRPr="00485DEC" w:rsidRDefault="00786570" w:rsidP="00786570">
      <w:pPr>
        <w:pStyle w:val="Normaallaadveeb"/>
        <w:rPr>
          <w:color w:val="000000"/>
        </w:rPr>
      </w:pPr>
      <w:r w:rsidRPr="00485DEC">
        <w:rPr>
          <w:color w:val="000000"/>
        </w:rPr>
        <w:t>Käesolevad looduskaitseobjektide koondtabelid on koostatud Keskkonnaministeeriumi Info- ja Tehnokeskuse loodusbüroo poolt (kaitsealad ja üksikobjektid – Kaire Sirel tel 673 7562; liigid – Marika Arro tel 673 7562). Tabelid käsitlevad kaitstavaid loodusobjekte seisuga 1. jaanuar 2005. Tabelid on koostatud riikliku keskkonnaregistri andmete põhjal.</w:t>
      </w:r>
    </w:p>
    <w:p w:rsidR="00786570" w:rsidRPr="00485DEC" w:rsidRDefault="00786570" w:rsidP="00786570">
      <w:pPr>
        <w:pStyle w:val="Normaallaadveeb"/>
        <w:rPr>
          <w:color w:val="000000"/>
        </w:rPr>
      </w:pPr>
      <w:r w:rsidRPr="00485DEC">
        <w:rPr>
          <w:color w:val="000000"/>
        </w:rPr>
        <w:t>Looduskaitsealuseid objekte käsitletakse käesolevas ülevaates eraldi järgmiste osadena:</w:t>
      </w:r>
    </w:p>
    <w:p w:rsidR="00786570" w:rsidRPr="00485DEC" w:rsidRDefault="00786570" w:rsidP="00786570">
      <w:pPr>
        <w:pStyle w:val="Normaallaadveeb"/>
        <w:rPr>
          <w:color w:val="000000"/>
        </w:rPr>
      </w:pPr>
      <w:r w:rsidRPr="00485DEC">
        <w:rPr>
          <w:color w:val="000000"/>
        </w:rPr>
        <w:t>I Kokkuvõte kaitsealadest;</w:t>
      </w:r>
    </w:p>
    <w:p w:rsidR="00786570" w:rsidRPr="00485DEC" w:rsidRDefault="00786570" w:rsidP="00786570">
      <w:pPr>
        <w:pStyle w:val="Normaallaadveeb"/>
        <w:rPr>
          <w:color w:val="000000"/>
        </w:rPr>
      </w:pPr>
      <w:r w:rsidRPr="00485DEC">
        <w:rPr>
          <w:color w:val="000000"/>
        </w:rPr>
        <w:t>II Kokkuvõte kaitstavatest looduse üksikobjektidest;</w:t>
      </w:r>
    </w:p>
    <w:p w:rsidR="00786570" w:rsidRPr="00485DEC" w:rsidRDefault="00786570" w:rsidP="00786570">
      <w:pPr>
        <w:pStyle w:val="Normaallaadveeb"/>
        <w:rPr>
          <w:color w:val="000000"/>
        </w:rPr>
      </w:pPr>
      <w:r w:rsidRPr="00485DEC">
        <w:rPr>
          <w:color w:val="000000"/>
        </w:rPr>
        <w:t>III Kokkuvõte I ja II kaitsekategooria liikide leiukohtadest.</w:t>
      </w:r>
    </w:p>
    <w:p w:rsidR="00786570" w:rsidRPr="00485DEC" w:rsidRDefault="00786570" w:rsidP="00786570">
      <w:pPr>
        <w:pStyle w:val="Normaallaadveeb"/>
        <w:rPr>
          <w:b/>
          <w:bCs/>
          <w:color w:val="000000"/>
        </w:rPr>
      </w:pPr>
      <w:r w:rsidRPr="00485DEC">
        <w:rPr>
          <w:b/>
          <w:bCs/>
          <w:color w:val="000000"/>
        </w:rPr>
        <w:t>I Kaitsealad</w:t>
      </w:r>
    </w:p>
    <w:p w:rsidR="00786570" w:rsidRPr="00485DEC" w:rsidRDefault="00786570" w:rsidP="00786570">
      <w:pPr>
        <w:pStyle w:val="Normaallaadveeb"/>
        <w:rPr>
          <w:color w:val="000000"/>
        </w:rPr>
      </w:pPr>
      <w:r w:rsidRPr="00485DEC">
        <w:rPr>
          <w:rStyle w:val="Hperlink"/>
          <w:b/>
          <w:bCs/>
        </w:rPr>
        <w:t>Tabel 1</w:t>
      </w:r>
      <w:r w:rsidRPr="00485DEC">
        <w:rPr>
          <w:color w:val="000000"/>
        </w:rPr>
        <w:t> annab ülevaate kaitsealade pindaladest maakondade kaupa, tuuakse eraldi välja erinevate kaitsealatüüpide pindalad. Eraldi on esitatud kaitsealuse akvatooriumi pindala, mis on vajalik ebatäpsuste vältimiseks kaitsealuse pindala % arvutamisel maakonna või Eesti pindala suhtes. Akvatooriumiks loetakse mere ning Peipsi, Lämmi ja Pihkva järve veealad.</w:t>
      </w:r>
    </w:p>
    <w:p w:rsidR="00786570" w:rsidRPr="00485DEC" w:rsidRDefault="00786570" w:rsidP="00786570">
      <w:pPr>
        <w:pStyle w:val="Normaallaadveeb"/>
        <w:rPr>
          <w:color w:val="000000"/>
        </w:rPr>
      </w:pPr>
      <w:r w:rsidRPr="00485DEC">
        <w:rPr>
          <w:noProof/>
        </w:rPr>
        <w:lastRenderedPageBreak/>
        <w:drawing>
          <wp:inline distT="0" distB="0" distL="0" distR="0">
            <wp:extent cx="8892540" cy="3612784"/>
            <wp:effectExtent l="0" t="0" r="3810" b="6985"/>
            <wp:docPr id="11" name="Pilt 11" descr="https://eelis-infoleht.sise.envir.ee/avalik/el_fil/tabe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eelis-infoleht.sise.envir.ee/avalik/el_fil/tabel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2540" cy="3612784"/>
                    </a:xfrm>
                    <a:prstGeom prst="rect">
                      <a:avLst/>
                    </a:prstGeom>
                    <a:noFill/>
                    <a:ln>
                      <a:noFill/>
                    </a:ln>
                  </pic:spPr>
                </pic:pic>
              </a:graphicData>
            </a:graphic>
          </wp:inline>
        </w:drawing>
      </w:r>
    </w:p>
    <w:p w:rsidR="00786570" w:rsidRPr="00485DEC" w:rsidRDefault="00786570" w:rsidP="00786570">
      <w:pPr>
        <w:pStyle w:val="Normaallaadveeb"/>
        <w:rPr>
          <w:color w:val="000000"/>
        </w:rPr>
      </w:pPr>
      <w:r w:rsidRPr="00485DEC">
        <w:rPr>
          <w:rStyle w:val="Hperlink"/>
          <w:b/>
          <w:bCs/>
        </w:rPr>
        <w:t>Tabelis 2</w:t>
      </w:r>
      <w:r w:rsidRPr="00485DEC">
        <w:rPr>
          <w:color w:val="000000"/>
        </w:rPr>
        <w:t> on toodud andmed administratsiooniga kaitsealade pindalade, sealhulgas akvatooriumi suuruse kohta (ei ole arvestatud kaitsealuseid parke ja ajutiste piirangutega alasid).</w:t>
      </w:r>
    </w:p>
    <w:p w:rsidR="00786570" w:rsidRPr="00485DEC" w:rsidRDefault="00786570" w:rsidP="00786570">
      <w:pPr>
        <w:pStyle w:val="Normaallaadveeb"/>
        <w:rPr>
          <w:color w:val="000000"/>
        </w:rPr>
      </w:pPr>
      <w:r w:rsidRPr="00485DEC">
        <w:rPr>
          <w:noProof/>
        </w:rPr>
        <w:lastRenderedPageBreak/>
        <w:drawing>
          <wp:inline distT="0" distB="0" distL="0" distR="0">
            <wp:extent cx="5631180" cy="6438900"/>
            <wp:effectExtent l="0" t="0" r="7620" b="0"/>
            <wp:docPr id="12" name="Pilt 12" descr="https://eelis-infoleht.sise.envir.ee/avalik/el_fil/tabe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eelis-infoleht.sise.envir.ee/avalik/el_fil/tabel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1180" cy="6438900"/>
                    </a:xfrm>
                    <a:prstGeom prst="rect">
                      <a:avLst/>
                    </a:prstGeom>
                    <a:noFill/>
                    <a:ln>
                      <a:noFill/>
                    </a:ln>
                  </pic:spPr>
                </pic:pic>
              </a:graphicData>
            </a:graphic>
          </wp:inline>
        </w:drawing>
      </w:r>
    </w:p>
    <w:p w:rsidR="00786570" w:rsidRPr="00485DEC" w:rsidRDefault="00786570" w:rsidP="00786570">
      <w:pPr>
        <w:pStyle w:val="Normaallaadveeb"/>
        <w:rPr>
          <w:color w:val="000000"/>
        </w:rPr>
      </w:pPr>
      <w:r w:rsidRPr="00485DEC">
        <w:rPr>
          <w:rStyle w:val="Hperlink"/>
          <w:b/>
          <w:bCs/>
        </w:rPr>
        <w:lastRenderedPageBreak/>
        <w:t>Tabel</w:t>
      </w:r>
      <w:r w:rsidRPr="00485DEC">
        <w:rPr>
          <w:rStyle w:val="Hperlink"/>
          <w:b/>
          <w:bCs/>
        </w:rPr>
        <w:t>i</w:t>
      </w:r>
      <w:r w:rsidRPr="00485DEC">
        <w:rPr>
          <w:rStyle w:val="Hperlink"/>
          <w:b/>
          <w:bCs/>
        </w:rPr>
        <w:t>s 3</w:t>
      </w:r>
      <w:r w:rsidRPr="00485DEC">
        <w:rPr>
          <w:color w:val="000000"/>
        </w:rPr>
        <w:t> on esitatud kaitsealade arv maakonniti. Mitme maakonna territooriumile jäävate kaitsealade puhul on ala loetud selle maakonna koosseisu, kuhu jääb temast pindalaliselt suurem osa.</w:t>
      </w:r>
    </w:p>
    <w:p w:rsidR="00786570" w:rsidRPr="00485DEC" w:rsidRDefault="00485DEC" w:rsidP="00786570">
      <w:pPr>
        <w:pStyle w:val="Normaallaadveeb"/>
        <w:rPr>
          <w:color w:val="000000"/>
        </w:rPr>
      </w:pPr>
      <w:r>
        <w:rPr>
          <w:noProof/>
        </w:rPr>
        <w:drawing>
          <wp:inline distT="0" distB="0" distL="0" distR="0">
            <wp:extent cx="5063837" cy="4592983"/>
            <wp:effectExtent l="0" t="0" r="3810" b="0"/>
            <wp:docPr id="1" name="Pilt 1" descr="https://eelis-infoleht.sise.envir.ee/avalik/el_fil/tabel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elis-infoleht.sise.envir.ee/avalik/el_fil/tabel3.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9824" cy="4598414"/>
                    </a:xfrm>
                    <a:prstGeom prst="rect">
                      <a:avLst/>
                    </a:prstGeom>
                    <a:noFill/>
                    <a:ln>
                      <a:noFill/>
                    </a:ln>
                  </pic:spPr>
                </pic:pic>
              </a:graphicData>
            </a:graphic>
          </wp:inline>
        </w:drawing>
      </w:r>
    </w:p>
    <w:p w:rsidR="00786570" w:rsidRPr="00485DEC" w:rsidRDefault="00786570" w:rsidP="00786570">
      <w:pPr>
        <w:pStyle w:val="Normaallaadveeb"/>
        <w:rPr>
          <w:color w:val="000000"/>
        </w:rPr>
      </w:pPr>
      <w:r w:rsidRPr="00485DEC">
        <w:rPr>
          <w:color w:val="000000"/>
        </w:rPr>
        <w:t>Tabelites on kasutatud järgmiseid lühendeid:</w:t>
      </w:r>
    </w:p>
    <w:p w:rsidR="00786570" w:rsidRPr="00485DEC" w:rsidRDefault="00786570" w:rsidP="00786570">
      <w:pPr>
        <w:numPr>
          <w:ilvl w:val="0"/>
          <w:numId w:val="15"/>
        </w:numPr>
        <w:spacing w:before="100" w:beforeAutospacing="1" w:after="100" w:afterAutospacing="1" w:line="240" w:lineRule="auto"/>
        <w:rPr>
          <w:rFonts w:ascii="Times New Roman" w:hAnsi="Times New Roman" w:cs="Times New Roman"/>
          <w:color w:val="000000"/>
          <w:sz w:val="24"/>
          <w:szCs w:val="24"/>
        </w:rPr>
      </w:pPr>
      <w:r w:rsidRPr="00485DEC">
        <w:rPr>
          <w:rFonts w:ascii="Times New Roman" w:hAnsi="Times New Roman" w:cs="Times New Roman"/>
          <w:color w:val="000000"/>
          <w:sz w:val="24"/>
          <w:szCs w:val="24"/>
        </w:rPr>
        <w:lastRenderedPageBreak/>
        <w:t>LKA – looduskaitseala;</w:t>
      </w:r>
    </w:p>
    <w:p w:rsidR="00786570" w:rsidRPr="00485DEC" w:rsidRDefault="00786570" w:rsidP="00786570">
      <w:pPr>
        <w:numPr>
          <w:ilvl w:val="0"/>
          <w:numId w:val="15"/>
        </w:numPr>
        <w:spacing w:before="100" w:beforeAutospacing="1" w:after="100" w:afterAutospacing="1" w:line="240" w:lineRule="auto"/>
        <w:rPr>
          <w:rFonts w:ascii="Times New Roman" w:hAnsi="Times New Roman" w:cs="Times New Roman"/>
          <w:color w:val="000000"/>
          <w:sz w:val="24"/>
          <w:szCs w:val="24"/>
        </w:rPr>
      </w:pPr>
      <w:r w:rsidRPr="00485DEC">
        <w:rPr>
          <w:rFonts w:ascii="Times New Roman" w:hAnsi="Times New Roman" w:cs="Times New Roman"/>
          <w:color w:val="000000"/>
          <w:sz w:val="24"/>
          <w:szCs w:val="24"/>
        </w:rPr>
        <w:t>MKA (LP) – maastikukaitseala või looduspark;</w:t>
      </w:r>
    </w:p>
    <w:p w:rsidR="00786570" w:rsidRPr="00485DEC" w:rsidRDefault="00786570" w:rsidP="00786570">
      <w:pPr>
        <w:numPr>
          <w:ilvl w:val="0"/>
          <w:numId w:val="15"/>
        </w:numPr>
        <w:spacing w:before="100" w:beforeAutospacing="1" w:after="100" w:afterAutospacing="1" w:line="240" w:lineRule="auto"/>
        <w:rPr>
          <w:rFonts w:ascii="Times New Roman" w:hAnsi="Times New Roman" w:cs="Times New Roman"/>
          <w:color w:val="000000"/>
          <w:sz w:val="24"/>
          <w:szCs w:val="24"/>
        </w:rPr>
      </w:pPr>
      <w:r w:rsidRPr="00485DEC">
        <w:rPr>
          <w:rFonts w:ascii="Times New Roman" w:hAnsi="Times New Roman" w:cs="Times New Roman"/>
          <w:color w:val="000000"/>
          <w:sz w:val="24"/>
          <w:szCs w:val="24"/>
        </w:rPr>
        <w:t>RP – rahvuspark;</w:t>
      </w:r>
    </w:p>
    <w:p w:rsidR="00786570" w:rsidRPr="00485DEC" w:rsidRDefault="00786570" w:rsidP="00786570">
      <w:pPr>
        <w:numPr>
          <w:ilvl w:val="0"/>
          <w:numId w:val="15"/>
        </w:numPr>
        <w:spacing w:before="100" w:beforeAutospacing="1" w:after="100" w:afterAutospacing="1" w:line="240" w:lineRule="auto"/>
        <w:rPr>
          <w:rFonts w:ascii="Times New Roman" w:hAnsi="Times New Roman" w:cs="Times New Roman"/>
          <w:color w:val="000000"/>
          <w:sz w:val="24"/>
          <w:szCs w:val="24"/>
        </w:rPr>
      </w:pPr>
      <w:r w:rsidRPr="00485DEC">
        <w:rPr>
          <w:rFonts w:ascii="Times New Roman" w:hAnsi="Times New Roman" w:cs="Times New Roman"/>
          <w:color w:val="000000"/>
          <w:sz w:val="24"/>
          <w:szCs w:val="24"/>
        </w:rPr>
        <w:t>PA – kaitsealune park, puistu või arboreetum (maastikukaitseala eritüübid);</w:t>
      </w:r>
    </w:p>
    <w:p w:rsidR="00786570" w:rsidRPr="00485DEC" w:rsidRDefault="00786570" w:rsidP="00786570">
      <w:pPr>
        <w:numPr>
          <w:ilvl w:val="0"/>
          <w:numId w:val="15"/>
        </w:numPr>
        <w:spacing w:before="100" w:beforeAutospacing="1" w:after="100" w:afterAutospacing="1" w:line="240" w:lineRule="auto"/>
        <w:rPr>
          <w:rFonts w:ascii="Times New Roman" w:hAnsi="Times New Roman" w:cs="Times New Roman"/>
          <w:color w:val="000000"/>
          <w:sz w:val="24"/>
          <w:szCs w:val="24"/>
        </w:rPr>
      </w:pPr>
      <w:r w:rsidRPr="00485DEC">
        <w:rPr>
          <w:rFonts w:ascii="Times New Roman" w:hAnsi="Times New Roman" w:cs="Times New Roman"/>
          <w:color w:val="000000"/>
          <w:sz w:val="24"/>
          <w:szCs w:val="24"/>
        </w:rPr>
        <w:t>VK – vana ehk uuendamata kaitsekorraga kaitseala;</w:t>
      </w:r>
    </w:p>
    <w:p w:rsidR="00786570" w:rsidRPr="00485DEC" w:rsidRDefault="00786570" w:rsidP="00786570">
      <w:pPr>
        <w:numPr>
          <w:ilvl w:val="0"/>
          <w:numId w:val="15"/>
        </w:numPr>
        <w:spacing w:before="100" w:beforeAutospacing="1" w:after="100" w:afterAutospacing="1" w:line="240" w:lineRule="auto"/>
        <w:rPr>
          <w:rFonts w:ascii="Times New Roman" w:hAnsi="Times New Roman" w:cs="Times New Roman"/>
          <w:color w:val="000000"/>
          <w:sz w:val="24"/>
          <w:szCs w:val="24"/>
        </w:rPr>
      </w:pPr>
      <w:r w:rsidRPr="00485DEC">
        <w:rPr>
          <w:rFonts w:ascii="Times New Roman" w:hAnsi="Times New Roman" w:cs="Times New Roman"/>
          <w:color w:val="000000"/>
          <w:sz w:val="24"/>
          <w:szCs w:val="24"/>
        </w:rPr>
        <w:t>AJP – ajutiste piirangutega ala.</w:t>
      </w:r>
    </w:p>
    <w:p w:rsidR="00786570" w:rsidRPr="00485DEC" w:rsidRDefault="00786570" w:rsidP="00786570">
      <w:pPr>
        <w:pStyle w:val="Normaallaadveeb"/>
        <w:rPr>
          <w:color w:val="000000"/>
        </w:rPr>
      </w:pPr>
      <w:r w:rsidRPr="00485DEC">
        <w:rPr>
          <w:color w:val="000000"/>
        </w:rPr>
        <w:t>Olulisemad muutused</w:t>
      </w:r>
    </w:p>
    <w:p w:rsidR="00786570" w:rsidRPr="00485DEC" w:rsidRDefault="00786570" w:rsidP="00786570">
      <w:pPr>
        <w:pStyle w:val="Normaallaadveeb"/>
        <w:rPr>
          <w:color w:val="000000"/>
        </w:rPr>
      </w:pPr>
      <w:r w:rsidRPr="00485DEC">
        <w:rPr>
          <w:color w:val="000000"/>
        </w:rPr>
        <w:t>Võrreldes 1. jaanuari 2004. aasta seisuga võib välja tuua järgmised muudatused:</w:t>
      </w:r>
    </w:p>
    <w:p w:rsidR="00786570" w:rsidRPr="00485DEC" w:rsidRDefault="00786570" w:rsidP="00786570">
      <w:pPr>
        <w:numPr>
          <w:ilvl w:val="0"/>
          <w:numId w:val="16"/>
        </w:numPr>
        <w:spacing w:before="100" w:beforeAutospacing="1" w:after="100" w:afterAutospacing="1" w:line="240" w:lineRule="auto"/>
        <w:rPr>
          <w:rFonts w:ascii="Times New Roman" w:hAnsi="Times New Roman" w:cs="Times New Roman"/>
          <w:color w:val="000000"/>
          <w:sz w:val="24"/>
          <w:szCs w:val="24"/>
        </w:rPr>
      </w:pPr>
      <w:r w:rsidRPr="00485DEC">
        <w:rPr>
          <w:rFonts w:ascii="Times New Roman" w:hAnsi="Times New Roman" w:cs="Times New Roman"/>
          <w:color w:val="000000"/>
          <w:sz w:val="24"/>
          <w:szCs w:val="24"/>
        </w:rPr>
        <w:t>seoses uute kaitse-eeskirjade kinnitamisega on suurenenud looduskaitsealade (12 797 ha) ning maastikukaitsealade pindala (20 985 ha) ja arv;</w:t>
      </w:r>
    </w:p>
    <w:p w:rsidR="00786570" w:rsidRPr="00485DEC" w:rsidRDefault="00786570" w:rsidP="00786570">
      <w:pPr>
        <w:numPr>
          <w:ilvl w:val="0"/>
          <w:numId w:val="16"/>
        </w:numPr>
        <w:spacing w:before="100" w:beforeAutospacing="1" w:after="100" w:afterAutospacing="1" w:line="240" w:lineRule="auto"/>
        <w:rPr>
          <w:rFonts w:ascii="Times New Roman" w:hAnsi="Times New Roman" w:cs="Times New Roman"/>
          <w:color w:val="000000"/>
          <w:sz w:val="24"/>
          <w:szCs w:val="24"/>
        </w:rPr>
      </w:pPr>
      <w:r w:rsidRPr="00485DEC">
        <w:rPr>
          <w:rFonts w:ascii="Times New Roman" w:hAnsi="Times New Roman" w:cs="Times New Roman"/>
          <w:color w:val="000000"/>
          <w:sz w:val="24"/>
          <w:szCs w:val="24"/>
        </w:rPr>
        <w:t>10. maist 2004. aastast hakkas kehtima Looduskaitseseadus (RT I 2004, 38, 258; 53, 373). Looduskaitseseadusega moodustati uus rahvuspark – Matsalu rahvuspark (enne Matsalu looduskaitseala), seetõttu muutus ka rahvusparkide ja looduskaitsealade pindala;</w:t>
      </w:r>
    </w:p>
    <w:p w:rsidR="00786570" w:rsidRPr="00485DEC" w:rsidRDefault="00786570" w:rsidP="00786570">
      <w:pPr>
        <w:numPr>
          <w:ilvl w:val="0"/>
          <w:numId w:val="16"/>
        </w:numPr>
        <w:spacing w:before="100" w:beforeAutospacing="1" w:after="100" w:afterAutospacing="1" w:line="240" w:lineRule="auto"/>
        <w:rPr>
          <w:rFonts w:ascii="Times New Roman" w:hAnsi="Times New Roman" w:cs="Times New Roman"/>
          <w:color w:val="000000"/>
          <w:sz w:val="24"/>
          <w:szCs w:val="24"/>
        </w:rPr>
      </w:pPr>
      <w:r w:rsidRPr="00485DEC">
        <w:rPr>
          <w:rFonts w:ascii="Times New Roman" w:hAnsi="Times New Roman" w:cs="Times New Roman"/>
          <w:color w:val="000000"/>
          <w:sz w:val="24"/>
          <w:szCs w:val="24"/>
        </w:rPr>
        <w:t>vanade e uuendamata kaitsekorraga kaitsealade arvu ja pindala muutused tulenevad andmete täpsustumisest ja alade ümbergrupeerimisest, samuti kinnitati mitmele alale (7) uued eeskirjad. Uuendamata ehk vana kaitsekorraga kaitsealade pindala vähenes 31 695 ha võrra.</w:t>
      </w:r>
    </w:p>
    <w:p w:rsidR="00786570" w:rsidRPr="00485DEC" w:rsidRDefault="00786570" w:rsidP="00786570">
      <w:pPr>
        <w:numPr>
          <w:ilvl w:val="0"/>
          <w:numId w:val="17"/>
        </w:numPr>
        <w:spacing w:before="100" w:beforeAutospacing="1" w:after="100" w:afterAutospacing="1" w:line="240" w:lineRule="auto"/>
        <w:rPr>
          <w:rFonts w:ascii="Times New Roman" w:hAnsi="Times New Roman" w:cs="Times New Roman"/>
          <w:color w:val="000000"/>
          <w:sz w:val="24"/>
          <w:szCs w:val="24"/>
        </w:rPr>
      </w:pPr>
      <w:r w:rsidRPr="00485DEC">
        <w:rPr>
          <w:rFonts w:ascii="Times New Roman" w:hAnsi="Times New Roman" w:cs="Times New Roman"/>
          <w:color w:val="000000"/>
          <w:sz w:val="24"/>
          <w:szCs w:val="24"/>
        </w:rPr>
        <w:t>Vabariigi Valitsus kinnitas 2004. aastal 6 looduskaitseala ja 3 maastikukaitseala kaitse-eeskirjad. Kaks ala (Nõmme-Mustamäe maastikukaitseala ja Timmase looduskaitseala) võeti kaitse alla esmakordselt.</w:t>
      </w:r>
    </w:p>
    <w:p w:rsidR="00786570" w:rsidRPr="00485DEC" w:rsidRDefault="00786570" w:rsidP="00786570">
      <w:pPr>
        <w:pStyle w:val="Normaallaadveeb"/>
        <w:rPr>
          <w:color w:val="000000"/>
        </w:rPr>
      </w:pPr>
      <w:r w:rsidRPr="00485DEC">
        <w:rPr>
          <w:color w:val="000000"/>
        </w:rPr>
        <w:t>1. jaanuari 2005. aasta seisuga oli Eestis kokku 917 kaitsealust territooriumi, nendest:</w:t>
      </w:r>
    </w:p>
    <w:p w:rsidR="00786570" w:rsidRPr="00485DEC" w:rsidRDefault="00786570" w:rsidP="00786570">
      <w:pPr>
        <w:numPr>
          <w:ilvl w:val="0"/>
          <w:numId w:val="18"/>
        </w:numPr>
        <w:spacing w:before="100" w:beforeAutospacing="1" w:after="100" w:afterAutospacing="1" w:line="240" w:lineRule="auto"/>
        <w:rPr>
          <w:rFonts w:ascii="Times New Roman" w:hAnsi="Times New Roman" w:cs="Times New Roman"/>
          <w:color w:val="000000"/>
          <w:sz w:val="24"/>
          <w:szCs w:val="24"/>
        </w:rPr>
      </w:pPr>
      <w:r w:rsidRPr="00485DEC">
        <w:rPr>
          <w:rFonts w:ascii="Times New Roman" w:hAnsi="Times New Roman" w:cs="Times New Roman"/>
          <w:color w:val="000000"/>
          <w:sz w:val="24"/>
          <w:szCs w:val="24"/>
        </w:rPr>
        <w:t>looduskaitsealasid 55;</w:t>
      </w:r>
    </w:p>
    <w:p w:rsidR="00786570" w:rsidRPr="00485DEC" w:rsidRDefault="00786570" w:rsidP="00786570">
      <w:pPr>
        <w:numPr>
          <w:ilvl w:val="0"/>
          <w:numId w:val="18"/>
        </w:numPr>
        <w:spacing w:before="100" w:beforeAutospacing="1" w:after="100" w:afterAutospacing="1" w:line="240" w:lineRule="auto"/>
        <w:rPr>
          <w:rFonts w:ascii="Times New Roman" w:hAnsi="Times New Roman" w:cs="Times New Roman"/>
          <w:color w:val="000000"/>
          <w:sz w:val="24"/>
          <w:szCs w:val="24"/>
        </w:rPr>
      </w:pPr>
      <w:r w:rsidRPr="00485DEC">
        <w:rPr>
          <w:rFonts w:ascii="Times New Roman" w:hAnsi="Times New Roman" w:cs="Times New Roman"/>
          <w:color w:val="000000"/>
          <w:sz w:val="24"/>
          <w:szCs w:val="24"/>
        </w:rPr>
        <w:t>maastikukaitsealasid 95;</w:t>
      </w:r>
    </w:p>
    <w:p w:rsidR="00786570" w:rsidRPr="00485DEC" w:rsidRDefault="00786570" w:rsidP="00786570">
      <w:pPr>
        <w:numPr>
          <w:ilvl w:val="0"/>
          <w:numId w:val="18"/>
        </w:numPr>
        <w:spacing w:before="100" w:beforeAutospacing="1" w:after="100" w:afterAutospacing="1" w:line="240" w:lineRule="auto"/>
        <w:rPr>
          <w:rFonts w:ascii="Times New Roman" w:hAnsi="Times New Roman" w:cs="Times New Roman"/>
          <w:color w:val="000000"/>
          <w:sz w:val="24"/>
          <w:szCs w:val="24"/>
        </w:rPr>
      </w:pPr>
      <w:r w:rsidRPr="00485DEC">
        <w:rPr>
          <w:rFonts w:ascii="Times New Roman" w:hAnsi="Times New Roman" w:cs="Times New Roman"/>
          <w:color w:val="000000"/>
          <w:sz w:val="24"/>
          <w:szCs w:val="24"/>
        </w:rPr>
        <w:t>rahvusparke 5;</w:t>
      </w:r>
    </w:p>
    <w:p w:rsidR="00786570" w:rsidRPr="00485DEC" w:rsidRDefault="00786570" w:rsidP="00786570">
      <w:pPr>
        <w:numPr>
          <w:ilvl w:val="0"/>
          <w:numId w:val="18"/>
        </w:numPr>
        <w:spacing w:before="100" w:beforeAutospacing="1" w:after="100" w:afterAutospacing="1" w:line="240" w:lineRule="auto"/>
        <w:rPr>
          <w:rFonts w:ascii="Times New Roman" w:hAnsi="Times New Roman" w:cs="Times New Roman"/>
          <w:color w:val="000000"/>
          <w:sz w:val="24"/>
          <w:szCs w:val="24"/>
        </w:rPr>
      </w:pPr>
      <w:r w:rsidRPr="00485DEC">
        <w:rPr>
          <w:rFonts w:ascii="Times New Roman" w:hAnsi="Times New Roman" w:cs="Times New Roman"/>
          <w:color w:val="000000"/>
          <w:sz w:val="24"/>
          <w:szCs w:val="24"/>
        </w:rPr>
        <w:t>vana ehk uuendamata kaitsekorraga alasid 218;</w:t>
      </w:r>
    </w:p>
    <w:p w:rsidR="00786570" w:rsidRPr="00485DEC" w:rsidRDefault="00786570" w:rsidP="00786570">
      <w:pPr>
        <w:numPr>
          <w:ilvl w:val="0"/>
          <w:numId w:val="18"/>
        </w:numPr>
        <w:spacing w:before="100" w:beforeAutospacing="1" w:after="100" w:afterAutospacing="1" w:line="240" w:lineRule="auto"/>
        <w:rPr>
          <w:rFonts w:ascii="Times New Roman" w:hAnsi="Times New Roman" w:cs="Times New Roman"/>
          <w:color w:val="000000"/>
          <w:sz w:val="24"/>
          <w:szCs w:val="24"/>
        </w:rPr>
      </w:pPr>
      <w:r w:rsidRPr="00485DEC">
        <w:rPr>
          <w:rFonts w:ascii="Times New Roman" w:hAnsi="Times New Roman" w:cs="Times New Roman"/>
          <w:color w:val="000000"/>
          <w:sz w:val="24"/>
          <w:szCs w:val="24"/>
        </w:rPr>
        <w:t>parke ja puistuid 544;</w:t>
      </w:r>
    </w:p>
    <w:p w:rsidR="00786570" w:rsidRPr="00485DEC" w:rsidRDefault="00786570" w:rsidP="00786570">
      <w:pPr>
        <w:pStyle w:val="Normaallaadveeb"/>
        <w:rPr>
          <w:color w:val="000000"/>
        </w:rPr>
      </w:pPr>
      <w:r w:rsidRPr="00485DEC">
        <w:rPr>
          <w:color w:val="000000"/>
        </w:rPr>
        <w:lastRenderedPageBreak/>
        <w:t>Lisaks võeti Keskkonnaministri 22. aprilli 2004. a määrusega nr 24 “Majandustegevuse ajutiste piirangute rakendamine väljaspool kaitsealasid asuvatel Natura 2000 võrgustiku aladel” ajutise kaitse alla (kuni 1.05.2005) 462 ala (ajutiste piirangutega ala), üldpindalaga 790 127 ha. Nimetatud alad võetakse selle aja jooksul kaitse alla kaitse- või siis hoiualadena.</w:t>
      </w:r>
    </w:p>
    <w:p w:rsidR="00786570" w:rsidRDefault="00786570" w:rsidP="00786570">
      <w:pPr>
        <w:pStyle w:val="Normaallaadveeb"/>
        <w:rPr>
          <w:color w:val="000000"/>
        </w:rPr>
      </w:pPr>
      <w:r w:rsidRPr="00485DEC">
        <w:rPr>
          <w:color w:val="000000"/>
        </w:rPr>
        <w:t>Kui 2004. aasta alguse seisuga oli registrisse kantud parke ja puistuid 536, siis selle arvu suurenemine 2005. aasta alguseks on tingitud andmete üldisest korrastamisest ja täpsustamisest. Mitmed alleed ja puistud, mis seni olid uuendamata kaitsealade nimekirjas, arvati juurde parkide ja puistute nimekirjale.</w:t>
      </w:r>
    </w:p>
    <w:p w:rsidR="00485DEC" w:rsidRPr="00485DEC" w:rsidRDefault="00485DEC" w:rsidP="00786570">
      <w:pPr>
        <w:pStyle w:val="Normaallaadveeb"/>
        <w:rPr>
          <w:color w:val="000000"/>
        </w:rPr>
      </w:pPr>
    </w:p>
    <w:p w:rsidR="00786570" w:rsidRPr="00485DEC" w:rsidRDefault="00786570" w:rsidP="00786570">
      <w:pPr>
        <w:pStyle w:val="Normaallaadveeb"/>
        <w:rPr>
          <w:b/>
          <w:bCs/>
          <w:color w:val="000000"/>
          <w:sz w:val="28"/>
        </w:rPr>
      </w:pPr>
      <w:r w:rsidRPr="00485DEC">
        <w:rPr>
          <w:b/>
          <w:bCs/>
          <w:color w:val="000000"/>
          <w:sz w:val="28"/>
        </w:rPr>
        <w:t>II Kaitstavad looduse üksikobjektid</w:t>
      </w:r>
    </w:p>
    <w:p w:rsidR="00786570" w:rsidRPr="00485DEC" w:rsidRDefault="00786570" w:rsidP="00786570">
      <w:pPr>
        <w:pStyle w:val="Normaallaadveeb"/>
        <w:rPr>
          <w:color w:val="000000"/>
        </w:rPr>
      </w:pPr>
      <w:r w:rsidRPr="00485DEC">
        <w:rPr>
          <w:rStyle w:val="Hperlink"/>
          <w:b/>
          <w:bCs/>
        </w:rPr>
        <w:t>Tabel 4</w:t>
      </w:r>
      <w:r w:rsidRPr="00485DEC">
        <w:rPr>
          <w:color w:val="000000"/>
        </w:rPr>
        <w:t> annab ülevaate kaitstavate looduse üksikobjektide arvust maakondade lõikes objektitüüpide kaupa. Eraldi on välja toodud kolm suuremat kaitstavate looduse üksikobjektide tüübirühma:</w:t>
      </w:r>
    </w:p>
    <w:p w:rsidR="00786570" w:rsidRPr="00485DEC" w:rsidRDefault="00786570" w:rsidP="00786570">
      <w:pPr>
        <w:numPr>
          <w:ilvl w:val="0"/>
          <w:numId w:val="19"/>
        </w:numPr>
        <w:spacing w:before="100" w:beforeAutospacing="1" w:after="100" w:afterAutospacing="1" w:line="240" w:lineRule="auto"/>
        <w:rPr>
          <w:rFonts w:ascii="Times New Roman" w:hAnsi="Times New Roman" w:cs="Times New Roman"/>
          <w:color w:val="000000"/>
          <w:sz w:val="24"/>
          <w:szCs w:val="24"/>
        </w:rPr>
      </w:pPr>
      <w:r w:rsidRPr="00485DEC">
        <w:rPr>
          <w:rFonts w:ascii="Times New Roman" w:hAnsi="Times New Roman" w:cs="Times New Roman"/>
          <w:color w:val="000000"/>
          <w:sz w:val="24"/>
          <w:szCs w:val="24"/>
        </w:rPr>
        <w:t>Puud – selles tüübirühmas käsitletakse üksikpuid, aga ka väiksemaid puudegruppe, salusid ja alleesid.</w:t>
      </w:r>
    </w:p>
    <w:p w:rsidR="00786570" w:rsidRPr="00485DEC" w:rsidRDefault="00786570" w:rsidP="00786570">
      <w:pPr>
        <w:numPr>
          <w:ilvl w:val="0"/>
          <w:numId w:val="19"/>
        </w:numPr>
        <w:spacing w:before="100" w:beforeAutospacing="1" w:after="100" w:afterAutospacing="1" w:line="240" w:lineRule="auto"/>
        <w:rPr>
          <w:rFonts w:ascii="Times New Roman" w:hAnsi="Times New Roman" w:cs="Times New Roman"/>
          <w:color w:val="000000"/>
          <w:sz w:val="24"/>
          <w:szCs w:val="24"/>
        </w:rPr>
      </w:pPr>
      <w:r w:rsidRPr="00485DEC">
        <w:rPr>
          <w:rFonts w:ascii="Times New Roman" w:hAnsi="Times New Roman" w:cs="Times New Roman"/>
          <w:color w:val="000000"/>
          <w:sz w:val="24"/>
          <w:szCs w:val="24"/>
        </w:rPr>
        <w:t>Kivid – esitatud on üksikute rändrahnude ja väiksemate kivikülvide arv.</w:t>
      </w:r>
    </w:p>
    <w:p w:rsidR="00786570" w:rsidRPr="00485DEC" w:rsidRDefault="00786570" w:rsidP="00786570">
      <w:pPr>
        <w:numPr>
          <w:ilvl w:val="0"/>
          <w:numId w:val="19"/>
        </w:numPr>
        <w:spacing w:before="100" w:beforeAutospacing="1" w:after="100" w:afterAutospacing="1" w:line="240" w:lineRule="auto"/>
        <w:rPr>
          <w:rFonts w:ascii="Times New Roman" w:hAnsi="Times New Roman" w:cs="Times New Roman"/>
          <w:color w:val="000000"/>
          <w:sz w:val="24"/>
          <w:szCs w:val="24"/>
        </w:rPr>
      </w:pPr>
      <w:r w:rsidRPr="00485DEC">
        <w:rPr>
          <w:rFonts w:ascii="Times New Roman" w:hAnsi="Times New Roman" w:cs="Times New Roman"/>
          <w:color w:val="000000"/>
          <w:sz w:val="24"/>
          <w:szCs w:val="24"/>
        </w:rPr>
        <w:t>Muud – teised kaitstavad looduse üksikobjektid, peamiselt maastikuelemendid nagu allikad, paljandid, koopad, karst jne.</w:t>
      </w:r>
    </w:p>
    <w:p w:rsidR="00786570" w:rsidRPr="00485DEC" w:rsidRDefault="00786570" w:rsidP="00786570">
      <w:pPr>
        <w:pStyle w:val="Normaallaadveeb"/>
        <w:rPr>
          <w:color w:val="000000"/>
        </w:rPr>
      </w:pPr>
      <w:r w:rsidRPr="00485DEC">
        <w:rPr>
          <w:color w:val="000000"/>
        </w:rPr>
        <w:t>Kõikide nimetatud objektide pindalad on väiksemad kui 1 ha.</w:t>
      </w:r>
    </w:p>
    <w:p w:rsidR="00786570" w:rsidRPr="00485DEC" w:rsidRDefault="00786570" w:rsidP="00786570">
      <w:pPr>
        <w:pStyle w:val="Normaallaadveeb"/>
        <w:rPr>
          <w:color w:val="000000"/>
        </w:rPr>
      </w:pPr>
      <w:r w:rsidRPr="00485DEC">
        <w:rPr>
          <w:color w:val="000000"/>
        </w:rPr>
        <w:t>Seisuga 1. jaanuar 2005 oli keskkonnaregistris kokku 1172 kaitstavat looduse üksikobjekti, nendest:</w:t>
      </w:r>
    </w:p>
    <w:p w:rsidR="00786570" w:rsidRPr="00485DEC" w:rsidRDefault="00786570" w:rsidP="00786570">
      <w:pPr>
        <w:numPr>
          <w:ilvl w:val="0"/>
          <w:numId w:val="20"/>
        </w:numPr>
        <w:spacing w:before="100" w:beforeAutospacing="1" w:after="100" w:afterAutospacing="1" w:line="240" w:lineRule="auto"/>
        <w:rPr>
          <w:rFonts w:ascii="Times New Roman" w:hAnsi="Times New Roman" w:cs="Times New Roman"/>
          <w:color w:val="000000"/>
          <w:sz w:val="24"/>
          <w:szCs w:val="24"/>
        </w:rPr>
      </w:pPr>
      <w:r w:rsidRPr="00485DEC">
        <w:rPr>
          <w:rFonts w:ascii="Times New Roman" w:hAnsi="Times New Roman" w:cs="Times New Roman"/>
          <w:color w:val="000000"/>
          <w:sz w:val="24"/>
          <w:szCs w:val="24"/>
        </w:rPr>
        <w:t>puid 727;</w:t>
      </w:r>
    </w:p>
    <w:p w:rsidR="00786570" w:rsidRPr="00485DEC" w:rsidRDefault="00786570" w:rsidP="00786570">
      <w:pPr>
        <w:numPr>
          <w:ilvl w:val="0"/>
          <w:numId w:val="20"/>
        </w:numPr>
        <w:spacing w:before="100" w:beforeAutospacing="1" w:after="100" w:afterAutospacing="1" w:line="240" w:lineRule="auto"/>
        <w:rPr>
          <w:rFonts w:ascii="Times New Roman" w:hAnsi="Times New Roman" w:cs="Times New Roman"/>
          <w:color w:val="000000"/>
          <w:sz w:val="24"/>
          <w:szCs w:val="24"/>
        </w:rPr>
      </w:pPr>
      <w:r w:rsidRPr="00485DEC">
        <w:rPr>
          <w:rFonts w:ascii="Times New Roman" w:hAnsi="Times New Roman" w:cs="Times New Roman"/>
          <w:color w:val="000000"/>
          <w:sz w:val="24"/>
          <w:szCs w:val="24"/>
        </w:rPr>
        <w:t>kive 343;</w:t>
      </w:r>
    </w:p>
    <w:p w:rsidR="00786570" w:rsidRPr="00485DEC" w:rsidRDefault="00786570" w:rsidP="00786570">
      <w:pPr>
        <w:numPr>
          <w:ilvl w:val="0"/>
          <w:numId w:val="20"/>
        </w:numPr>
        <w:spacing w:before="100" w:beforeAutospacing="1" w:after="100" w:afterAutospacing="1" w:line="240" w:lineRule="auto"/>
        <w:rPr>
          <w:rFonts w:ascii="Times New Roman" w:hAnsi="Times New Roman" w:cs="Times New Roman"/>
          <w:color w:val="000000"/>
          <w:sz w:val="24"/>
          <w:szCs w:val="24"/>
        </w:rPr>
      </w:pPr>
      <w:r w:rsidRPr="00485DEC">
        <w:rPr>
          <w:rFonts w:ascii="Times New Roman" w:hAnsi="Times New Roman" w:cs="Times New Roman"/>
          <w:color w:val="000000"/>
          <w:sz w:val="24"/>
          <w:szCs w:val="24"/>
        </w:rPr>
        <w:t>teisi (muid) üksikobjekte 102.</w:t>
      </w:r>
    </w:p>
    <w:p w:rsidR="00786570" w:rsidRPr="00485DEC" w:rsidRDefault="00786570" w:rsidP="00786570">
      <w:pPr>
        <w:spacing w:before="100" w:beforeAutospacing="1" w:after="100" w:afterAutospacing="1" w:line="240" w:lineRule="auto"/>
        <w:rPr>
          <w:rFonts w:ascii="Times New Roman" w:hAnsi="Times New Roman" w:cs="Times New Roman"/>
          <w:color w:val="000000"/>
          <w:sz w:val="24"/>
          <w:szCs w:val="24"/>
        </w:rPr>
      </w:pPr>
      <w:r w:rsidRPr="00485DEC">
        <w:rPr>
          <w:rFonts w:ascii="Times New Roman" w:hAnsi="Times New Roman" w:cs="Times New Roman"/>
          <w:noProof/>
          <w:sz w:val="24"/>
          <w:szCs w:val="24"/>
          <w:lang w:eastAsia="et-EE"/>
        </w:rPr>
        <w:lastRenderedPageBreak/>
        <w:drawing>
          <wp:inline distT="0" distB="0" distL="0" distR="0">
            <wp:extent cx="4465320" cy="3924300"/>
            <wp:effectExtent l="0" t="0" r="0" b="0"/>
            <wp:docPr id="14" name="Pilt 14" descr="https://eelis-infoleht.sise.envir.ee/avalik/el_fil/tabel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eelis-infoleht.sise.envir.ee/avalik/el_fil/tabel4.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65320" cy="3924300"/>
                    </a:xfrm>
                    <a:prstGeom prst="rect">
                      <a:avLst/>
                    </a:prstGeom>
                    <a:noFill/>
                    <a:ln>
                      <a:noFill/>
                    </a:ln>
                  </pic:spPr>
                </pic:pic>
              </a:graphicData>
            </a:graphic>
          </wp:inline>
        </w:drawing>
      </w:r>
    </w:p>
    <w:p w:rsidR="00786570" w:rsidRDefault="00786570" w:rsidP="00786570">
      <w:pPr>
        <w:pStyle w:val="Normaallaadveeb"/>
        <w:rPr>
          <w:color w:val="000000"/>
        </w:rPr>
      </w:pPr>
      <w:r w:rsidRPr="00485DEC">
        <w:rPr>
          <w:color w:val="000000"/>
        </w:rPr>
        <w:t>2004. aasta jooksul ühtegi uut üksikobjekti kaitse alla ei võetud. Objektide arvu muutus on tingitud samuti andmete üldisest korrastamisest ja arhiivimaterjalide alusel täpsustamisest. Samuti said mitmed varem üksikobjektide nimekirjas olnud objektid endale täpsemad piirid ning kuna pindala ületas 1 ha kanti need kaitsealade nimekirja.</w:t>
      </w:r>
    </w:p>
    <w:p w:rsidR="00485DEC" w:rsidRDefault="00485DEC" w:rsidP="00786570">
      <w:pPr>
        <w:pStyle w:val="Normaallaadveeb"/>
        <w:rPr>
          <w:color w:val="000000"/>
        </w:rPr>
      </w:pPr>
    </w:p>
    <w:p w:rsidR="00485DEC" w:rsidRDefault="00485DEC" w:rsidP="00786570">
      <w:pPr>
        <w:pStyle w:val="Normaallaadveeb"/>
        <w:rPr>
          <w:color w:val="000000"/>
        </w:rPr>
      </w:pPr>
    </w:p>
    <w:p w:rsidR="00485DEC" w:rsidRPr="00485DEC" w:rsidRDefault="00485DEC" w:rsidP="00786570">
      <w:pPr>
        <w:pStyle w:val="Normaallaadveeb"/>
        <w:rPr>
          <w:color w:val="000000"/>
        </w:rPr>
      </w:pPr>
    </w:p>
    <w:p w:rsidR="00786570" w:rsidRPr="00485DEC" w:rsidRDefault="00786570" w:rsidP="00786570">
      <w:pPr>
        <w:pStyle w:val="Normaallaadveeb"/>
        <w:rPr>
          <w:b/>
          <w:bCs/>
          <w:color w:val="000000"/>
          <w:sz w:val="28"/>
        </w:rPr>
      </w:pPr>
      <w:r w:rsidRPr="00485DEC">
        <w:rPr>
          <w:b/>
          <w:bCs/>
          <w:color w:val="000000"/>
          <w:sz w:val="28"/>
        </w:rPr>
        <w:lastRenderedPageBreak/>
        <w:t>III I ja II kaitsekategooria liikide leiukohad</w:t>
      </w:r>
    </w:p>
    <w:p w:rsidR="00786570" w:rsidRPr="00485DEC" w:rsidRDefault="00786570" w:rsidP="00786570">
      <w:pPr>
        <w:pStyle w:val="Normaallaadveeb"/>
        <w:rPr>
          <w:color w:val="000000"/>
        </w:rPr>
      </w:pPr>
      <w:r w:rsidRPr="00485DEC">
        <w:rPr>
          <w:rStyle w:val="Hperlink"/>
          <w:b/>
          <w:bCs/>
        </w:rPr>
        <w:t>Tabelis 5</w:t>
      </w:r>
      <w:r w:rsidRPr="00485DEC">
        <w:rPr>
          <w:color w:val="000000"/>
        </w:rPr>
        <w:t> on toodud I kaitsekategooria liikide leiukohtade arv, II kategooriast on välja toodud metsise, rohunepi, niidurüdi ja kanakulli elupaikade arv. Metsise puhul on elupaikade üldarv väiksem kui maakondade elupaikade summa. See tuleneb asjaolust, et pindalaliste objektidena kajastuvad mitme maakonna piiresse jäävad elupaigad kõikide nende maakondade lahtrites. Kõre elupaiku ei ole enam eraldi välja toodud, sest kõre kuulub nüüd I kaitsekategooriasse.</w:t>
      </w:r>
    </w:p>
    <w:p w:rsidR="00786570" w:rsidRPr="00485DEC" w:rsidRDefault="00786570" w:rsidP="00786570">
      <w:pPr>
        <w:pStyle w:val="Normaallaadveeb"/>
        <w:rPr>
          <w:color w:val="000000"/>
        </w:rPr>
      </w:pPr>
      <w:bookmarkStart w:id="0" w:name="_GoBack"/>
      <w:r w:rsidRPr="00485DEC">
        <w:rPr>
          <w:noProof/>
        </w:rPr>
        <w:drawing>
          <wp:inline distT="0" distB="0" distL="0" distR="0">
            <wp:extent cx="7051964" cy="4234011"/>
            <wp:effectExtent l="0" t="0" r="0" b="0"/>
            <wp:docPr id="15" name="Pilt 15" descr="https://eelis-infoleht.sise.envir.ee/avalik/el_fil/tabel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eelis-infoleht.sise.envir.ee/avalik/el_fil/tabel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61014" cy="4239445"/>
                    </a:xfrm>
                    <a:prstGeom prst="rect">
                      <a:avLst/>
                    </a:prstGeom>
                    <a:noFill/>
                    <a:ln>
                      <a:noFill/>
                    </a:ln>
                  </pic:spPr>
                </pic:pic>
              </a:graphicData>
            </a:graphic>
          </wp:inline>
        </w:drawing>
      </w:r>
      <w:bookmarkEnd w:id="0"/>
    </w:p>
    <w:p w:rsidR="00786570" w:rsidRPr="00485DEC" w:rsidRDefault="00786570" w:rsidP="00786570">
      <w:pPr>
        <w:pStyle w:val="Normaallaadveeb"/>
        <w:rPr>
          <w:color w:val="000000"/>
        </w:rPr>
      </w:pPr>
      <w:r w:rsidRPr="00485DEC">
        <w:rPr>
          <w:color w:val="000000"/>
        </w:rPr>
        <w:lastRenderedPageBreak/>
        <w:t>Võrreldes 2003. aastaga tulenevad I kategooria liikide leiukohtade arvus toimunud suuremad muutused peamiselt liikide kaitsekategooria muutumisest. Väiksemad muutused tulenevad olemasolevate andmete korrigeerimisest ja inventuuridest laekunud uutest andmetest. Samas on arvelt maha võetud hävinud elupaiku. 2004. aasta jooksul täienesid keskkonnaregistri andmed muuhulgas seente ja kanakulli andmetega.</w:t>
      </w:r>
    </w:p>
    <w:p w:rsidR="008E24A9" w:rsidRPr="00485DEC" w:rsidRDefault="008E24A9" w:rsidP="00786570">
      <w:pPr>
        <w:rPr>
          <w:rFonts w:ascii="Times New Roman" w:hAnsi="Times New Roman" w:cs="Times New Roman"/>
          <w:sz w:val="24"/>
          <w:szCs w:val="24"/>
        </w:rPr>
      </w:pPr>
    </w:p>
    <w:sectPr w:rsidR="008E24A9" w:rsidRPr="00485DEC" w:rsidSect="00B0065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023" w:rsidRDefault="00232023" w:rsidP="00232023">
      <w:pPr>
        <w:spacing w:after="0" w:line="240" w:lineRule="auto"/>
      </w:pPr>
      <w:r>
        <w:separator/>
      </w:r>
    </w:p>
  </w:endnote>
  <w:endnote w:type="continuationSeparator" w:id="0">
    <w:p w:rsidR="00232023" w:rsidRDefault="00232023" w:rsidP="0023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023" w:rsidRDefault="00232023" w:rsidP="00232023">
      <w:pPr>
        <w:spacing w:after="0" w:line="240" w:lineRule="auto"/>
      </w:pPr>
      <w:r>
        <w:separator/>
      </w:r>
    </w:p>
  </w:footnote>
  <w:footnote w:type="continuationSeparator" w:id="0">
    <w:p w:rsidR="00232023" w:rsidRDefault="00232023" w:rsidP="00232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87B27"/>
    <w:multiLevelType w:val="multilevel"/>
    <w:tmpl w:val="9506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5106A1"/>
    <w:multiLevelType w:val="multilevel"/>
    <w:tmpl w:val="F13A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1B41D0"/>
    <w:multiLevelType w:val="multilevel"/>
    <w:tmpl w:val="2B92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900D39"/>
    <w:multiLevelType w:val="multilevel"/>
    <w:tmpl w:val="F8CE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274C31"/>
    <w:multiLevelType w:val="multilevel"/>
    <w:tmpl w:val="93686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D92730"/>
    <w:multiLevelType w:val="multilevel"/>
    <w:tmpl w:val="3D80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81613A"/>
    <w:multiLevelType w:val="multilevel"/>
    <w:tmpl w:val="9496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7E2560"/>
    <w:multiLevelType w:val="multilevel"/>
    <w:tmpl w:val="263E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4C46DB"/>
    <w:multiLevelType w:val="multilevel"/>
    <w:tmpl w:val="2A148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292306"/>
    <w:multiLevelType w:val="multilevel"/>
    <w:tmpl w:val="BCFA4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43724C"/>
    <w:multiLevelType w:val="multilevel"/>
    <w:tmpl w:val="1A18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ED2283"/>
    <w:multiLevelType w:val="multilevel"/>
    <w:tmpl w:val="867EE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84461F"/>
    <w:multiLevelType w:val="multilevel"/>
    <w:tmpl w:val="9732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C63037"/>
    <w:multiLevelType w:val="multilevel"/>
    <w:tmpl w:val="DD2EB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AC6466"/>
    <w:multiLevelType w:val="multilevel"/>
    <w:tmpl w:val="E5129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BB19A9"/>
    <w:multiLevelType w:val="multilevel"/>
    <w:tmpl w:val="24705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754E27"/>
    <w:multiLevelType w:val="multilevel"/>
    <w:tmpl w:val="E440E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C15EB8"/>
    <w:multiLevelType w:val="multilevel"/>
    <w:tmpl w:val="0C6E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8D664F"/>
    <w:multiLevelType w:val="multilevel"/>
    <w:tmpl w:val="68063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031C64"/>
    <w:multiLevelType w:val="multilevel"/>
    <w:tmpl w:val="CEECD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4"/>
  </w:num>
  <w:num w:numId="3">
    <w:abstractNumId w:val="17"/>
  </w:num>
  <w:num w:numId="4">
    <w:abstractNumId w:val="19"/>
  </w:num>
  <w:num w:numId="5">
    <w:abstractNumId w:val="11"/>
  </w:num>
  <w:num w:numId="6">
    <w:abstractNumId w:val="9"/>
  </w:num>
  <w:num w:numId="7">
    <w:abstractNumId w:val="18"/>
  </w:num>
  <w:num w:numId="8">
    <w:abstractNumId w:val="1"/>
  </w:num>
  <w:num w:numId="9">
    <w:abstractNumId w:val="5"/>
  </w:num>
  <w:num w:numId="10">
    <w:abstractNumId w:val="14"/>
  </w:num>
  <w:num w:numId="11">
    <w:abstractNumId w:val="6"/>
  </w:num>
  <w:num w:numId="12">
    <w:abstractNumId w:val="12"/>
  </w:num>
  <w:num w:numId="13">
    <w:abstractNumId w:val="8"/>
  </w:num>
  <w:num w:numId="14">
    <w:abstractNumId w:val="10"/>
  </w:num>
  <w:num w:numId="15">
    <w:abstractNumId w:val="2"/>
  </w:num>
  <w:num w:numId="16">
    <w:abstractNumId w:val="3"/>
  </w:num>
  <w:num w:numId="17">
    <w:abstractNumId w:val="13"/>
  </w:num>
  <w:num w:numId="18">
    <w:abstractNumId w:val="7"/>
  </w:num>
  <w:num w:numId="19">
    <w:abstractNumId w:val="1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4A9"/>
    <w:rsid w:val="0005197E"/>
    <w:rsid w:val="00232023"/>
    <w:rsid w:val="00485DEC"/>
    <w:rsid w:val="005C557C"/>
    <w:rsid w:val="00620CAC"/>
    <w:rsid w:val="00786570"/>
    <w:rsid w:val="008E24A9"/>
    <w:rsid w:val="00900405"/>
    <w:rsid w:val="00B0065D"/>
    <w:rsid w:val="00B9282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C12DD-73D5-4EC5-AEE7-9A3A778E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link w:val="Pealkiri1Mrk"/>
    <w:uiPriority w:val="9"/>
    <w:qFormat/>
    <w:rsid w:val="00B006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paragraph" w:styleId="Pealkiri2">
    <w:name w:val="heading 2"/>
    <w:basedOn w:val="Normaallaad"/>
    <w:next w:val="Normaallaad"/>
    <w:link w:val="Pealkiri2Mrk"/>
    <w:uiPriority w:val="9"/>
    <w:semiHidden/>
    <w:unhideWhenUsed/>
    <w:qFormat/>
    <w:rsid w:val="00620C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unhideWhenUsed/>
    <w:rsid w:val="008E24A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Hperlink">
    <w:name w:val="Hyperlink"/>
    <w:basedOn w:val="Liguvaikefont"/>
    <w:uiPriority w:val="99"/>
    <w:semiHidden/>
    <w:unhideWhenUsed/>
    <w:rsid w:val="008E24A9"/>
    <w:rPr>
      <w:color w:val="0000FF"/>
      <w:u w:val="single"/>
    </w:rPr>
  </w:style>
  <w:style w:type="character" w:customStyle="1" w:styleId="Pealkiri1Mrk">
    <w:name w:val="Pealkiri 1 Märk"/>
    <w:basedOn w:val="Liguvaikefont"/>
    <w:link w:val="Pealkiri1"/>
    <w:uiPriority w:val="9"/>
    <w:rsid w:val="00B0065D"/>
    <w:rPr>
      <w:rFonts w:ascii="Times New Roman" w:eastAsia="Times New Roman" w:hAnsi="Times New Roman" w:cs="Times New Roman"/>
      <w:b/>
      <w:bCs/>
      <w:kern w:val="36"/>
      <w:sz w:val="48"/>
      <w:szCs w:val="48"/>
      <w:lang w:eastAsia="et-EE"/>
    </w:rPr>
  </w:style>
  <w:style w:type="paragraph" w:styleId="Loendilik">
    <w:name w:val="List Paragraph"/>
    <w:basedOn w:val="Normaallaad"/>
    <w:uiPriority w:val="34"/>
    <w:qFormat/>
    <w:rsid w:val="00232023"/>
    <w:pPr>
      <w:ind w:left="720"/>
      <w:contextualSpacing/>
    </w:pPr>
  </w:style>
  <w:style w:type="character" w:customStyle="1" w:styleId="Pealkiri2Mrk">
    <w:name w:val="Pealkiri 2 Märk"/>
    <w:basedOn w:val="Liguvaikefont"/>
    <w:link w:val="Pealkiri2"/>
    <w:uiPriority w:val="9"/>
    <w:semiHidden/>
    <w:rsid w:val="00620CAC"/>
    <w:rPr>
      <w:rFonts w:asciiTheme="majorHAnsi" w:eastAsiaTheme="majorEastAsia" w:hAnsiTheme="majorHAnsi" w:cstheme="majorBidi"/>
      <w:color w:val="2E74B5" w:themeColor="accent1" w:themeShade="BF"/>
      <w:sz w:val="26"/>
      <w:szCs w:val="26"/>
    </w:rPr>
  </w:style>
  <w:style w:type="character" w:styleId="Klastatudhperlink">
    <w:name w:val="FollowedHyperlink"/>
    <w:basedOn w:val="Liguvaikefont"/>
    <w:uiPriority w:val="99"/>
    <w:semiHidden/>
    <w:unhideWhenUsed/>
    <w:rsid w:val="00485D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328">
      <w:bodyDiv w:val="1"/>
      <w:marLeft w:val="0"/>
      <w:marRight w:val="0"/>
      <w:marTop w:val="0"/>
      <w:marBottom w:val="0"/>
      <w:divBdr>
        <w:top w:val="none" w:sz="0" w:space="0" w:color="auto"/>
        <w:left w:val="none" w:sz="0" w:space="0" w:color="auto"/>
        <w:bottom w:val="none" w:sz="0" w:space="0" w:color="auto"/>
        <w:right w:val="none" w:sz="0" w:space="0" w:color="auto"/>
      </w:divBdr>
      <w:divsChild>
        <w:div w:id="1017584752">
          <w:marLeft w:val="0"/>
          <w:marRight w:val="0"/>
          <w:marTop w:val="0"/>
          <w:marBottom w:val="0"/>
          <w:divBdr>
            <w:top w:val="none" w:sz="0" w:space="0" w:color="auto"/>
            <w:left w:val="none" w:sz="0" w:space="0" w:color="auto"/>
            <w:bottom w:val="none" w:sz="0" w:space="0" w:color="auto"/>
            <w:right w:val="none" w:sz="0" w:space="0" w:color="auto"/>
          </w:divBdr>
        </w:div>
      </w:divsChild>
    </w:div>
    <w:div w:id="222955808">
      <w:bodyDiv w:val="1"/>
      <w:marLeft w:val="0"/>
      <w:marRight w:val="0"/>
      <w:marTop w:val="0"/>
      <w:marBottom w:val="0"/>
      <w:divBdr>
        <w:top w:val="none" w:sz="0" w:space="0" w:color="auto"/>
        <w:left w:val="none" w:sz="0" w:space="0" w:color="auto"/>
        <w:bottom w:val="none" w:sz="0" w:space="0" w:color="auto"/>
        <w:right w:val="none" w:sz="0" w:space="0" w:color="auto"/>
      </w:divBdr>
      <w:divsChild>
        <w:div w:id="481509794">
          <w:marLeft w:val="0"/>
          <w:marRight w:val="0"/>
          <w:marTop w:val="0"/>
          <w:marBottom w:val="0"/>
          <w:divBdr>
            <w:top w:val="none" w:sz="0" w:space="0" w:color="auto"/>
            <w:left w:val="none" w:sz="0" w:space="0" w:color="auto"/>
            <w:bottom w:val="none" w:sz="0" w:space="0" w:color="auto"/>
            <w:right w:val="none" w:sz="0" w:space="0" w:color="auto"/>
          </w:divBdr>
        </w:div>
      </w:divsChild>
    </w:div>
    <w:div w:id="243732801">
      <w:bodyDiv w:val="1"/>
      <w:marLeft w:val="0"/>
      <w:marRight w:val="0"/>
      <w:marTop w:val="0"/>
      <w:marBottom w:val="0"/>
      <w:divBdr>
        <w:top w:val="none" w:sz="0" w:space="0" w:color="auto"/>
        <w:left w:val="none" w:sz="0" w:space="0" w:color="auto"/>
        <w:bottom w:val="none" w:sz="0" w:space="0" w:color="auto"/>
        <w:right w:val="none" w:sz="0" w:space="0" w:color="auto"/>
      </w:divBdr>
    </w:div>
    <w:div w:id="313753116">
      <w:bodyDiv w:val="1"/>
      <w:marLeft w:val="0"/>
      <w:marRight w:val="0"/>
      <w:marTop w:val="0"/>
      <w:marBottom w:val="0"/>
      <w:divBdr>
        <w:top w:val="none" w:sz="0" w:space="0" w:color="auto"/>
        <w:left w:val="none" w:sz="0" w:space="0" w:color="auto"/>
        <w:bottom w:val="none" w:sz="0" w:space="0" w:color="auto"/>
        <w:right w:val="none" w:sz="0" w:space="0" w:color="auto"/>
      </w:divBdr>
    </w:div>
    <w:div w:id="332345642">
      <w:bodyDiv w:val="1"/>
      <w:marLeft w:val="0"/>
      <w:marRight w:val="0"/>
      <w:marTop w:val="0"/>
      <w:marBottom w:val="0"/>
      <w:divBdr>
        <w:top w:val="none" w:sz="0" w:space="0" w:color="auto"/>
        <w:left w:val="none" w:sz="0" w:space="0" w:color="auto"/>
        <w:bottom w:val="none" w:sz="0" w:space="0" w:color="auto"/>
        <w:right w:val="none" w:sz="0" w:space="0" w:color="auto"/>
      </w:divBdr>
    </w:div>
    <w:div w:id="390932911">
      <w:bodyDiv w:val="1"/>
      <w:marLeft w:val="0"/>
      <w:marRight w:val="0"/>
      <w:marTop w:val="0"/>
      <w:marBottom w:val="0"/>
      <w:divBdr>
        <w:top w:val="none" w:sz="0" w:space="0" w:color="auto"/>
        <w:left w:val="none" w:sz="0" w:space="0" w:color="auto"/>
        <w:bottom w:val="none" w:sz="0" w:space="0" w:color="auto"/>
        <w:right w:val="none" w:sz="0" w:space="0" w:color="auto"/>
      </w:divBdr>
    </w:div>
    <w:div w:id="432942023">
      <w:bodyDiv w:val="1"/>
      <w:marLeft w:val="0"/>
      <w:marRight w:val="0"/>
      <w:marTop w:val="0"/>
      <w:marBottom w:val="0"/>
      <w:divBdr>
        <w:top w:val="none" w:sz="0" w:space="0" w:color="auto"/>
        <w:left w:val="none" w:sz="0" w:space="0" w:color="auto"/>
        <w:bottom w:val="none" w:sz="0" w:space="0" w:color="auto"/>
        <w:right w:val="none" w:sz="0" w:space="0" w:color="auto"/>
      </w:divBdr>
    </w:div>
    <w:div w:id="439762331">
      <w:bodyDiv w:val="1"/>
      <w:marLeft w:val="0"/>
      <w:marRight w:val="0"/>
      <w:marTop w:val="0"/>
      <w:marBottom w:val="0"/>
      <w:divBdr>
        <w:top w:val="none" w:sz="0" w:space="0" w:color="auto"/>
        <w:left w:val="none" w:sz="0" w:space="0" w:color="auto"/>
        <w:bottom w:val="none" w:sz="0" w:space="0" w:color="auto"/>
        <w:right w:val="none" w:sz="0" w:space="0" w:color="auto"/>
      </w:divBdr>
      <w:divsChild>
        <w:div w:id="1429345662">
          <w:marLeft w:val="0"/>
          <w:marRight w:val="0"/>
          <w:marTop w:val="0"/>
          <w:marBottom w:val="0"/>
          <w:divBdr>
            <w:top w:val="none" w:sz="0" w:space="0" w:color="auto"/>
            <w:left w:val="none" w:sz="0" w:space="0" w:color="auto"/>
            <w:bottom w:val="none" w:sz="0" w:space="0" w:color="auto"/>
            <w:right w:val="none" w:sz="0" w:space="0" w:color="auto"/>
          </w:divBdr>
          <w:divsChild>
            <w:div w:id="283587099">
              <w:marLeft w:val="0"/>
              <w:marRight w:val="0"/>
              <w:marTop w:val="0"/>
              <w:marBottom w:val="0"/>
              <w:divBdr>
                <w:top w:val="none" w:sz="0" w:space="0" w:color="auto"/>
                <w:left w:val="none" w:sz="0" w:space="0" w:color="auto"/>
                <w:bottom w:val="none" w:sz="0" w:space="0" w:color="auto"/>
                <w:right w:val="none" w:sz="0" w:space="0" w:color="auto"/>
              </w:divBdr>
              <w:divsChild>
                <w:div w:id="163336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147086">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sChild>
        <w:div w:id="411856077">
          <w:marLeft w:val="0"/>
          <w:marRight w:val="0"/>
          <w:marTop w:val="0"/>
          <w:marBottom w:val="0"/>
          <w:divBdr>
            <w:top w:val="none" w:sz="0" w:space="0" w:color="auto"/>
            <w:left w:val="none" w:sz="0" w:space="0" w:color="auto"/>
            <w:bottom w:val="none" w:sz="0" w:space="0" w:color="auto"/>
            <w:right w:val="none" w:sz="0" w:space="0" w:color="auto"/>
          </w:divBdr>
        </w:div>
      </w:divsChild>
    </w:div>
    <w:div w:id="637296824">
      <w:bodyDiv w:val="1"/>
      <w:marLeft w:val="0"/>
      <w:marRight w:val="0"/>
      <w:marTop w:val="0"/>
      <w:marBottom w:val="0"/>
      <w:divBdr>
        <w:top w:val="none" w:sz="0" w:space="0" w:color="auto"/>
        <w:left w:val="none" w:sz="0" w:space="0" w:color="auto"/>
        <w:bottom w:val="none" w:sz="0" w:space="0" w:color="auto"/>
        <w:right w:val="none" w:sz="0" w:space="0" w:color="auto"/>
      </w:divBdr>
    </w:div>
    <w:div w:id="640769689">
      <w:bodyDiv w:val="1"/>
      <w:marLeft w:val="0"/>
      <w:marRight w:val="0"/>
      <w:marTop w:val="0"/>
      <w:marBottom w:val="0"/>
      <w:divBdr>
        <w:top w:val="none" w:sz="0" w:space="0" w:color="auto"/>
        <w:left w:val="none" w:sz="0" w:space="0" w:color="auto"/>
        <w:bottom w:val="none" w:sz="0" w:space="0" w:color="auto"/>
        <w:right w:val="none" w:sz="0" w:space="0" w:color="auto"/>
      </w:divBdr>
    </w:div>
    <w:div w:id="664016017">
      <w:bodyDiv w:val="1"/>
      <w:marLeft w:val="0"/>
      <w:marRight w:val="0"/>
      <w:marTop w:val="0"/>
      <w:marBottom w:val="0"/>
      <w:divBdr>
        <w:top w:val="none" w:sz="0" w:space="0" w:color="auto"/>
        <w:left w:val="none" w:sz="0" w:space="0" w:color="auto"/>
        <w:bottom w:val="none" w:sz="0" w:space="0" w:color="auto"/>
        <w:right w:val="none" w:sz="0" w:space="0" w:color="auto"/>
      </w:divBdr>
    </w:div>
    <w:div w:id="692608633">
      <w:bodyDiv w:val="1"/>
      <w:marLeft w:val="0"/>
      <w:marRight w:val="0"/>
      <w:marTop w:val="0"/>
      <w:marBottom w:val="0"/>
      <w:divBdr>
        <w:top w:val="none" w:sz="0" w:space="0" w:color="auto"/>
        <w:left w:val="none" w:sz="0" w:space="0" w:color="auto"/>
        <w:bottom w:val="none" w:sz="0" w:space="0" w:color="auto"/>
        <w:right w:val="none" w:sz="0" w:space="0" w:color="auto"/>
      </w:divBdr>
      <w:divsChild>
        <w:div w:id="516427978">
          <w:marLeft w:val="0"/>
          <w:marRight w:val="0"/>
          <w:marTop w:val="0"/>
          <w:marBottom w:val="0"/>
          <w:divBdr>
            <w:top w:val="none" w:sz="0" w:space="0" w:color="auto"/>
            <w:left w:val="none" w:sz="0" w:space="0" w:color="auto"/>
            <w:bottom w:val="none" w:sz="0" w:space="0" w:color="auto"/>
            <w:right w:val="none" w:sz="0" w:space="0" w:color="auto"/>
          </w:divBdr>
        </w:div>
      </w:divsChild>
    </w:div>
    <w:div w:id="867180658">
      <w:bodyDiv w:val="1"/>
      <w:marLeft w:val="0"/>
      <w:marRight w:val="0"/>
      <w:marTop w:val="0"/>
      <w:marBottom w:val="0"/>
      <w:divBdr>
        <w:top w:val="none" w:sz="0" w:space="0" w:color="auto"/>
        <w:left w:val="none" w:sz="0" w:space="0" w:color="auto"/>
        <w:bottom w:val="none" w:sz="0" w:space="0" w:color="auto"/>
        <w:right w:val="none" w:sz="0" w:space="0" w:color="auto"/>
      </w:divBdr>
    </w:div>
    <w:div w:id="889806885">
      <w:bodyDiv w:val="1"/>
      <w:marLeft w:val="0"/>
      <w:marRight w:val="0"/>
      <w:marTop w:val="0"/>
      <w:marBottom w:val="0"/>
      <w:divBdr>
        <w:top w:val="none" w:sz="0" w:space="0" w:color="auto"/>
        <w:left w:val="none" w:sz="0" w:space="0" w:color="auto"/>
        <w:bottom w:val="none" w:sz="0" w:space="0" w:color="auto"/>
        <w:right w:val="none" w:sz="0" w:space="0" w:color="auto"/>
      </w:divBdr>
    </w:div>
    <w:div w:id="956718959">
      <w:bodyDiv w:val="1"/>
      <w:marLeft w:val="0"/>
      <w:marRight w:val="0"/>
      <w:marTop w:val="0"/>
      <w:marBottom w:val="0"/>
      <w:divBdr>
        <w:top w:val="none" w:sz="0" w:space="0" w:color="auto"/>
        <w:left w:val="none" w:sz="0" w:space="0" w:color="auto"/>
        <w:bottom w:val="none" w:sz="0" w:space="0" w:color="auto"/>
        <w:right w:val="none" w:sz="0" w:space="0" w:color="auto"/>
      </w:divBdr>
    </w:div>
    <w:div w:id="966665731">
      <w:bodyDiv w:val="1"/>
      <w:marLeft w:val="0"/>
      <w:marRight w:val="0"/>
      <w:marTop w:val="0"/>
      <w:marBottom w:val="0"/>
      <w:divBdr>
        <w:top w:val="none" w:sz="0" w:space="0" w:color="auto"/>
        <w:left w:val="none" w:sz="0" w:space="0" w:color="auto"/>
        <w:bottom w:val="none" w:sz="0" w:space="0" w:color="auto"/>
        <w:right w:val="none" w:sz="0" w:space="0" w:color="auto"/>
      </w:divBdr>
    </w:div>
    <w:div w:id="974481784">
      <w:bodyDiv w:val="1"/>
      <w:marLeft w:val="0"/>
      <w:marRight w:val="0"/>
      <w:marTop w:val="0"/>
      <w:marBottom w:val="0"/>
      <w:divBdr>
        <w:top w:val="none" w:sz="0" w:space="0" w:color="auto"/>
        <w:left w:val="none" w:sz="0" w:space="0" w:color="auto"/>
        <w:bottom w:val="none" w:sz="0" w:space="0" w:color="auto"/>
        <w:right w:val="none" w:sz="0" w:space="0" w:color="auto"/>
      </w:divBdr>
    </w:div>
    <w:div w:id="1032917339">
      <w:bodyDiv w:val="1"/>
      <w:marLeft w:val="0"/>
      <w:marRight w:val="0"/>
      <w:marTop w:val="0"/>
      <w:marBottom w:val="0"/>
      <w:divBdr>
        <w:top w:val="none" w:sz="0" w:space="0" w:color="auto"/>
        <w:left w:val="none" w:sz="0" w:space="0" w:color="auto"/>
        <w:bottom w:val="none" w:sz="0" w:space="0" w:color="auto"/>
        <w:right w:val="none" w:sz="0" w:space="0" w:color="auto"/>
      </w:divBdr>
    </w:div>
    <w:div w:id="1128740713">
      <w:bodyDiv w:val="1"/>
      <w:marLeft w:val="0"/>
      <w:marRight w:val="0"/>
      <w:marTop w:val="0"/>
      <w:marBottom w:val="0"/>
      <w:divBdr>
        <w:top w:val="none" w:sz="0" w:space="0" w:color="auto"/>
        <w:left w:val="none" w:sz="0" w:space="0" w:color="auto"/>
        <w:bottom w:val="none" w:sz="0" w:space="0" w:color="auto"/>
        <w:right w:val="none" w:sz="0" w:space="0" w:color="auto"/>
      </w:divBdr>
    </w:div>
    <w:div w:id="1197354648">
      <w:bodyDiv w:val="1"/>
      <w:marLeft w:val="0"/>
      <w:marRight w:val="0"/>
      <w:marTop w:val="0"/>
      <w:marBottom w:val="0"/>
      <w:divBdr>
        <w:top w:val="none" w:sz="0" w:space="0" w:color="auto"/>
        <w:left w:val="none" w:sz="0" w:space="0" w:color="auto"/>
        <w:bottom w:val="none" w:sz="0" w:space="0" w:color="auto"/>
        <w:right w:val="none" w:sz="0" w:space="0" w:color="auto"/>
      </w:divBdr>
    </w:div>
    <w:div w:id="1200122920">
      <w:bodyDiv w:val="1"/>
      <w:marLeft w:val="0"/>
      <w:marRight w:val="0"/>
      <w:marTop w:val="0"/>
      <w:marBottom w:val="0"/>
      <w:divBdr>
        <w:top w:val="none" w:sz="0" w:space="0" w:color="auto"/>
        <w:left w:val="none" w:sz="0" w:space="0" w:color="auto"/>
        <w:bottom w:val="none" w:sz="0" w:space="0" w:color="auto"/>
        <w:right w:val="none" w:sz="0" w:space="0" w:color="auto"/>
      </w:divBdr>
      <w:divsChild>
        <w:div w:id="1093159760">
          <w:marLeft w:val="0"/>
          <w:marRight w:val="0"/>
          <w:marTop w:val="0"/>
          <w:marBottom w:val="0"/>
          <w:divBdr>
            <w:top w:val="none" w:sz="0" w:space="0" w:color="auto"/>
            <w:left w:val="none" w:sz="0" w:space="0" w:color="auto"/>
            <w:bottom w:val="none" w:sz="0" w:space="0" w:color="auto"/>
            <w:right w:val="none" w:sz="0" w:space="0" w:color="auto"/>
          </w:divBdr>
        </w:div>
      </w:divsChild>
    </w:div>
    <w:div w:id="1257012518">
      <w:bodyDiv w:val="1"/>
      <w:marLeft w:val="0"/>
      <w:marRight w:val="0"/>
      <w:marTop w:val="0"/>
      <w:marBottom w:val="0"/>
      <w:divBdr>
        <w:top w:val="none" w:sz="0" w:space="0" w:color="auto"/>
        <w:left w:val="none" w:sz="0" w:space="0" w:color="auto"/>
        <w:bottom w:val="none" w:sz="0" w:space="0" w:color="auto"/>
        <w:right w:val="none" w:sz="0" w:space="0" w:color="auto"/>
      </w:divBdr>
      <w:divsChild>
        <w:div w:id="89394619">
          <w:marLeft w:val="0"/>
          <w:marRight w:val="0"/>
          <w:marTop w:val="0"/>
          <w:marBottom w:val="0"/>
          <w:divBdr>
            <w:top w:val="none" w:sz="0" w:space="0" w:color="auto"/>
            <w:left w:val="none" w:sz="0" w:space="0" w:color="auto"/>
            <w:bottom w:val="none" w:sz="0" w:space="0" w:color="auto"/>
            <w:right w:val="none" w:sz="0" w:space="0" w:color="auto"/>
          </w:divBdr>
        </w:div>
      </w:divsChild>
    </w:div>
    <w:div w:id="1334066839">
      <w:bodyDiv w:val="1"/>
      <w:marLeft w:val="0"/>
      <w:marRight w:val="0"/>
      <w:marTop w:val="0"/>
      <w:marBottom w:val="0"/>
      <w:divBdr>
        <w:top w:val="none" w:sz="0" w:space="0" w:color="auto"/>
        <w:left w:val="none" w:sz="0" w:space="0" w:color="auto"/>
        <w:bottom w:val="none" w:sz="0" w:space="0" w:color="auto"/>
        <w:right w:val="none" w:sz="0" w:space="0" w:color="auto"/>
      </w:divBdr>
    </w:div>
    <w:div w:id="1447121852">
      <w:bodyDiv w:val="1"/>
      <w:marLeft w:val="0"/>
      <w:marRight w:val="0"/>
      <w:marTop w:val="0"/>
      <w:marBottom w:val="0"/>
      <w:divBdr>
        <w:top w:val="none" w:sz="0" w:space="0" w:color="auto"/>
        <w:left w:val="none" w:sz="0" w:space="0" w:color="auto"/>
        <w:bottom w:val="none" w:sz="0" w:space="0" w:color="auto"/>
        <w:right w:val="none" w:sz="0" w:space="0" w:color="auto"/>
      </w:divBdr>
    </w:div>
    <w:div w:id="1567956516">
      <w:bodyDiv w:val="1"/>
      <w:marLeft w:val="0"/>
      <w:marRight w:val="0"/>
      <w:marTop w:val="0"/>
      <w:marBottom w:val="0"/>
      <w:divBdr>
        <w:top w:val="none" w:sz="0" w:space="0" w:color="auto"/>
        <w:left w:val="none" w:sz="0" w:space="0" w:color="auto"/>
        <w:bottom w:val="none" w:sz="0" w:space="0" w:color="auto"/>
        <w:right w:val="none" w:sz="0" w:space="0" w:color="auto"/>
      </w:divBdr>
    </w:div>
    <w:div w:id="1731226033">
      <w:bodyDiv w:val="1"/>
      <w:marLeft w:val="0"/>
      <w:marRight w:val="0"/>
      <w:marTop w:val="0"/>
      <w:marBottom w:val="0"/>
      <w:divBdr>
        <w:top w:val="none" w:sz="0" w:space="0" w:color="auto"/>
        <w:left w:val="none" w:sz="0" w:space="0" w:color="auto"/>
        <w:bottom w:val="none" w:sz="0" w:space="0" w:color="auto"/>
        <w:right w:val="none" w:sz="0" w:space="0" w:color="auto"/>
      </w:divBdr>
    </w:div>
    <w:div w:id="1796437682">
      <w:bodyDiv w:val="1"/>
      <w:marLeft w:val="0"/>
      <w:marRight w:val="0"/>
      <w:marTop w:val="0"/>
      <w:marBottom w:val="0"/>
      <w:divBdr>
        <w:top w:val="none" w:sz="0" w:space="0" w:color="auto"/>
        <w:left w:val="none" w:sz="0" w:space="0" w:color="auto"/>
        <w:bottom w:val="none" w:sz="0" w:space="0" w:color="auto"/>
        <w:right w:val="none" w:sz="0" w:space="0" w:color="auto"/>
      </w:divBdr>
    </w:div>
    <w:div w:id="1824816337">
      <w:bodyDiv w:val="1"/>
      <w:marLeft w:val="0"/>
      <w:marRight w:val="0"/>
      <w:marTop w:val="0"/>
      <w:marBottom w:val="0"/>
      <w:divBdr>
        <w:top w:val="none" w:sz="0" w:space="0" w:color="auto"/>
        <w:left w:val="none" w:sz="0" w:space="0" w:color="auto"/>
        <w:bottom w:val="none" w:sz="0" w:space="0" w:color="auto"/>
        <w:right w:val="none" w:sz="0" w:space="0" w:color="auto"/>
      </w:divBdr>
    </w:div>
    <w:div w:id="1832872721">
      <w:bodyDiv w:val="1"/>
      <w:marLeft w:val="0"/>
      <w:marRight w:val="0"/>
      <w:marTop w:val="0"/>
      <w:marBottom w:val="0"/>
      <w:divBdr>
        <w:top w:val="none" w:sz="0" w:space="0" w:color="auto"/>
        <w:left w:val="none" w:sz="0" w:space="0" w:color="auto"/>
        <w:bottom w:val="none" w:sz="0" w:space="0" w:color="auto"/>
        <w:right w:val="none" w:sz="0" w:space="0" w:color="auto"/>
      </w:divBdr>
    </w:div>
    <w:div w:id="1855458945">
      <w:bodyDiv w:val="1"/>
      <w:marLeft w:val="0"/>
      <w:marRight w:val="0"/>
      <w:marTop w:val="0"/>
      <w:marBottom w:val="0"/>
      <w:divBdr>
        <w:top w:val="none" w:sz="0" w:space="0" w:color="auto"/>
        <w:left w:val="none" w:sz="0" w:space="0" w:color="auto"/>
        <w:bottom w:val="none" w:sz="0" w:space="0" w:color="auto"/>
        <w:right w:val="none" w:sz="0" w:space="0" w:color="auto"/>
      </w:divBdr>
    </w:div>
    <w:div w:id="1885756125">
      <w:bodyDiv w:val="1"/>
      <w:marLeft w:val="0"/>
      <w:marRight w:val="0"/>
      <w:marTop w:val="0"/>
      <w:marBottom w:val="0"/>
      <w:divBdr>
        <w:top w:val="none" w:sz="0" w:space="0" w:color="auto"/>
        <w:left w:val="none" w:sz="0" w:space="0" w:color="auto"/>
        <w:bottom w:val="none" w:sz="0" w:space="0" w:color="auto"/>
        <w:right w:val="none" w:sz="0" w:space="0" w:color="auto"/>
      </w:divBdr>
    </w:div>
    <w:div w:id="1886210390">
      <w:bodyDiv w:val="1"/>
      <w:marLeft w:val="0"/>
      <w:marRight w:val="0"/>
      <w:marTop w:val="0"/>
      <w:marBottom w:val="0"/>
      <w:divBdr>
        <w:top w:val="none" w:sz="0" w:space="0" w:color="auto"/>
        <w:left w:val="none" w:sz="0" w:space="0" w:color="auto"/>
        <w:bottom w:val="none" w:sz="0" w:space="0" w:color="auto"/>
        <w:right w:val="none" w:sz="0" w:space="0" w:color="auto"/>
      </w:divBdr>
    </w:div>
    <w:div w:id="1903323445">
      <w:bodyDiv w:val="1"/>
      <w:marLeft w:val="0"/>
      <w:marRight w:val="0"/>
      <w:marTop w:val="0"/>
      <w:marBottom w:val="0"/>
      <w:divBdr>
        <w:top w:val="none" w:sz="0" w:space="0" w:color="auto"/>
        <w:left w:val="none" w:sz="0" w:space="0" w:color="auto"/>
        <w:bottom w:val="none" w:sz="0" w:space="0" w:color="auto"/>
        <w:right w:val="none" w:sz="0" w:space="0" w:color="auto"/>
      </w:divBdr>
    </w:div>
    <w:div w:id="1971978715">
      <w:bodyDiv w:val="1"/>
      <w:marLeft w:val="0"/>
      <w:marRight w:val="0"/>
      <w:marTop w:val="0"/>
      <w:marBottom w:val="0"/>
      <w:divBdr>
        <w:top w:val="none" w:sz="0" w:space="0" w:color="auto"/>
        <w:left w:val="none" w:sz="0" w:space="0" w:color="auto"/>
        <w:bottom w:val="none" w:sz="0" w:space="0" w:color="auto"/>
        <w:right w:val="none" w:sz="0" w:space="0" w:color="auto"/>
      </w:divBdr>
    </w:div>
    <w:div w:id="205241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808</Words>
  <Characters>4692</Characters>
  <Application>Microsoft Office Word</Application>
  <DocSecurity>0</DocSecurity>
  <Lines>39</Lines>
  <Paragraphs>10</Paragraphs>
  <ScaleCrop>false</ScaleCrop>
  <HeadingPairs>
    <vt:vector size="2" baseType="variant">
      <vt:variant>
        <vt:lpstr>Pealkiri</vt:lpstr>
      </vt:variant>
      <vt:variant>
        <vt:i4>1</vt:i4>
      </vt:variant>
    </vt:vector>
  </HeadingPairs>
  <TitlesOfParts>
    <vt:vector size="1" baseType="lpstr">
      <vt:lpstr/>
    </vt:vector>
  </TitlesOfParts>
  <Company>Keskkonnaministeeriumi Infotehnoloogiakeskus</Company>
  <LinksUpToDate>false</LinksUpToDate>
  <CharactersWithSpaces>5490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Kaisa Viira</dc:creator>
  <cp:keywords/>
  <dc:description/>
  <cp:lastModifiedBy>Kaisa Viira</cp:lastModifiedBy>
  <cp:revision>2</cp:revision>
  <dcterms:created xsi:type="dcterms:W3CDTF">2021-03-13T18:33:00Z</dcterms:created>
  <dcterms:modified xsi:type="dcterms:W3CDTF">2021-03-13T18:33:00Z</dcterms:modified>
</cp:coreProperties>
</file>